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9A3" w:rsidRPr="00EC3C9E" w:rsidRDefault="006369A3" w:rsidP="00E35BBE">
      <w:pPr>
        <w:ind w:firstLineChars="200" w:firstLine="561"/>
        <w:jc w:val="both"/>
        <w:rPr>
          <w:b/>
          <w:color w:val="C00000"/>
        </w:rPr>
      </w:pPr>
      <w:r w:rsidRPr="00EC3C9E">
        <w:rPr>
          <w:rFonts w:hint="eastAsia"/>
          <w:b/>
          <w:color w:val="C00000"/>
          <w:sz w:val="28"/>
        </w:rPr>
        <w:t>「臺灣漢學講座」邀請</w:t>
      </w:r>
      <w:r w:rsidR="00E143C9" w:rsidRPr="00EC3C9E">
        <w:rPr>
          <w:rFonts w:hint="eastAsia"/>
          <w:b/>
          <w:color w:val="C00000"/>
          <w:sz w:val="28"/>
        </w:rPr>
        <w:t>王明蓀教授</w:t>
      </w:r>
      <w:r w:rsidRPr="00EC3C9E">
        <w:rPr>
          <w:rFonts w:hint="eastAsia"/>
          <w:b/>
          <w:color w:val="C00000"/>
          <w:sz w:val="28"/>
        </w:rPr>
        <w:t>於</w:t>
      </w:r>
      <w:r w:rsidR="00E143C9" w:rsidRPr="00EC3C9E">
        <w:rPr>
          <w:rFonts w:hint="eastAsia"/>
          <w:b/>
          <w:color w:val="C00000"/>
          <w:sz w:val="28"/>
        </w:rPr>
        <w:t>蒙古國家圖書館</w:t>
      </w:r>
      <w:r w:rsidR="00C04FCC" w:rsidRPr="00EC3C9E">
        <w:rPr>
          <w:rFonts w:hint="eastAsia"/>
          <w:b/>
          <w:color w:val="C00000"/>
          <w:sz w:val="28"/>
        </w:rPr>
        <w:t>演講</w:t>
      </w:r>
    </w:p>
    <w:p w:rsidR="00AE2BD6" w:rsidRDefault="006369A3" w:rsidP="00E35BBE">
      <w:pPr>
        <w:spacing w:line="480" w:lineRule="exact"/>
        <w:ind w:firstLineChars="200" w:firstLine="480"/>
        <w:jc w:val="both"/>
        <w:rPr>
          <w:rFonts w:ascii="Times New Roman" w:cs="Times New Roman"/>
        </w:rPr>
      </w:pPr>
      <w:r w:rsidRPr="00612837">
        <w:rPr>
          <w:rFonts w:ascii="Times New Roman" w:cs="Times New Roman"/>
        </w:rPr>
        <w:t>本（</w:t>
      </w:r>
      <w:r w:rsidR="00F250CE" w:rsidRPr="00612837">
        <w:rPr>
          <w:rFonts w:ascii="Times New Roman" w:hAnsi="Times New Roman" w:cs="Times New Roman"/>
        </w:rPr>
        <w:t>10</w:t>
      </w:r>
      <w:r w:rsidR="00E56794">
        <w:rPr>
          <w:rFonts w:ascii="Times New Roman" w:hAnsi="Times New Roman" w:cs="Times New Roman" w:hint="eastAsia"/>
        </w:rPr>
        <w:t>8</w:t>
      </w:r>
      <w:r w:rsidRPr="00612837">
        <w:rPr>
          <w:rFonts w:ascii="Times New Roman" w:cs="Times New Roman"/>
        </w:rPr>
        <w:t>）年</w:t>
      </w:r>
      <w:r w:rsidR="00E56794">
        <w:rPr>
          <w:rFonts w:ascii="Times New Roman" w:cs="Times New Roman" w:hint="eastAsia"/>
        </w:rPr>
        <w:t>9</w:t>
      </w:r>
      <w:r w:rsidRPr="00612837">
        <w:rPr>
          <w:rFonts w:ascii="Times New Roman" w:cs="Times New Roman"/>
        </w:rPr>
        <w:t>月</w:t>
      </w:r>
      <w:r w:rsidR="00C04FCC">
        <w:rPr>
          <w:rFonts w:ascii="Times New Roman" w:cs="Times New Roman" w:hint="eastAsia"/>
        </w:rPr>
        <w:t>9</w:t>
      </w:r>
      <w:r w:rsidRPr="00612837">
        <w:rPr>
          <w:rFonts w:ascii="Times New Roman" w:cs="Times New Roman"/>
        </w:rPr>
        <w:t>日，國家圖書館漢學研究中心與</w:t>
      </w:r>
      <w:r w:rsidR="004F3A49">
        <w:rPr>
          <w:rFonts w:ascii="Times New Roman" w:cs="Times New Roman" w:hint="eastAsia"/>
        </w:rPr>
        <w:t>蒙古國家圖書館</w:t>
      </w:r>
      <w:r w:rsidRPr="00612837">
        <w:rPr>
          <w:rFonts w:ascii="Times New Roman" w:hAnsi="Times New Roman" w:cs="Times New Roman"/>
        </w:rPr>
        <w:t>(</w:t>
      </w:r>
      <w:r w:rsidR="004F3A49" w:rsidRPr="004F3A49">
        <w:rPr>
          <w:rFonts w:ascii="Times New Roman" w:hAnsi="Times New Roman" w:cs="Times New Roman"/>
        </w:rPr>
        <w:t>National Library of Mongolia</w:t>
      </w:r>
      <w:r w:rsidRPr="00612837">
        <w:rPr>
          <w:rFonts w:ascii="Times New Roman" w:hAnsi="Times New Roman" w:cs="Times New Roman"/>
        </w:rPr>
        <w:t>)</w:t>
      </w:r>
      <w:r w:rsidR="00EC3C9E" w:rsidRPr="00EC3C9E">
        <w:rPr>
          <w:rFonts w:ascii="Times New Roman" w:cs="Times New Roman" w:hint="eastAsia"/>
        </w:rPr>
        <w:t xml:space="preserve"> </w:t>
      </w:r>
      <w:r w:rsidR="00EC3C9E">
        <w:rPr>
          <w:rFonts w:ascii="Times New Roman" w:cs="Times New Roman" w:hint="eastAsia"/>
        </w:rPr>
        <w:t>簽訂</w:t>
      </w:r>
      <w:r w:rsidR="00EC3C9E">
        <w:rPr>
          <w:rFonts w:asciiTheme="minorEastAsia" w:hAnsiTheme="minorEastAsia" w:cs="Times New Roman" w:hint="eastAsia"/>
        </w:rPr>
        <w:t>「臺灣漢學研究資源中心</w:t>
      </w:r>
      <w:r w:rsidR="00EC3C9E" w:rsidRPr="005747F8">
        <w:rPr>
          <w:rFonts w:ascii="Times New Roman" w:hAnsi="Times New Roman" w:cs="Times New Roman"/>
        </w:rPr>
        <w:t>(Taiwan Research Center on Chinese Studies)</w:t>
      </w:r>
      <w:r w:rsidR="00EC3C9E">
        <w:rPr>
          <w:rFonts w:asciiTheme="minorEastAsia" w:hAnsiTheme="minorEastAsia" w:cs="Times New Roman" w:hint="eastAsia"/>
        </w:rPr>
        <w:t>」合作協議</w:t>
      </w:r>
      <w:r w:rsidR="00EC3C9E">
        <w:rPr>
          <w:rFonts w:asciiTheme="minorEastAsia" w:hAnsiTheme="minorEastAsia" w:cs="Times New Roman" w:hint="eastAsia"/>
        </w:rPr>
        <w:t>，同時</w:t>
      </w:r>
      <w:r w:rsidR="00EC3C9E" w:rsidRPr="00247E97">
        <w:rPr>
          <w:rFonts w:asciiTheme="minorEastAsia" w:hAnsiTheme="minorEastAsia" w:cs="Times New Roman" w:hint="eastAsia"/>
        </w:rPr>
        <w:t>辦理「蒙古帝國的回憶與中華文明的印記－紀念八</w:t>
      </w:r>
      <w:proofErr w:type="gramStart"/>
      <w:r w:rsidR="00EC3C9E" w:rsidRPr="00247E97">
        <w:rPr>
          <w:rFonts w:asciiTheme="minorEastAsia" w:hAnsiTheme="minorEastAsia" w:cs="Times New Roman" w:hint="eastAsia"/>
        </w:rPr>
        <w:t>思巴文</w:t>
      </w:r>
      <w:proofErr w:type="gramEnd"/>
      <w:r w:rsidR="00EC3C9E" w:rsidRPr="00247E97">
        <w:rPr>
          <w:rFonts w:asciiTheme="minorEastAsia" w:hAnsiTheme="minorEastAsia" w:cs="Times New Roman" w:hint="eastAsia"/>
        </w:rPr>
        <w:t>制定750年」展覽，</w:t>
      </w:r>
      <w:r w:rsidR="00EC3C9E">
        <w:rPr>
          <w:rFonts w:asciiTheme="minorEastAsia" w:hAnsiTheme="minorEastAsia" w:cs="Times New Roman" w:hint="eastAsia"/>
        </w:rPr>
        <w:t>並於</w:t>
      </w:r>
      <w:r w:rsidR="00EC3C9E" w:rsidRPr="00247E97">
        <w:rPr>
          <w:rFonts w:asciiTheme="minorEastAsia" w:hAnsiTheme="minorEastAsia" w:cs="Times New Roman" w:hint="eastAsia"/>
        </w:rPr>
        <w:t>展覽開幕儀式後</w:t>
      </w:r>
      <w:r w:rsidRPr="00612837">
        <w:rPr>
          <w:rFonts w:ascii="Times New Roman" w:cs="Times New Roman"/>
        </w:rPr>
        <w:t>，假</w:t>
      </w:r>
      <w:r w:rsidR="00F250CE" w:rsidRPr="00612837">
        <w:rPr>
          <w:rFonts w:ascii="Times New Roman" w:cs="Times New Roman"/>
        </w:rPr>
        <w:t>該校舉辦今年</w:t>
      </w:r>
      <w:r w:rsidR="00C04FCC">
        <w:rPr>
          <w:rFonts w:ascii="Times New Roman" w:cs="Times New Roman" w:hint="eastAsia"/>
        </w:rPr>
        <w:t>第</w:t>
      </w:r>
      <w:r w:rsidR="004F3A49">
        <w:rPr>
          <w:rFonts w:ascii="Times New Roman" w:cs="Times New Roman" w:hint="eastAsia"/>
        </w:rPr>
        <w:t>5</w:t>
      </w:r>
      <w:r w:rsidRPr="00612837">
        <w:rPr>
          <w:rFonts w:ascii="Times New Roman" w:cs="Times New Roman"/>
        </w:rPr>
        <w:t>場「臺灣漢學講座</w:t>
      </w:r>
      <w:r w:rsidRPr="00612837">
        <w:rPr>
          <w:rFonts w:ascii="Times New Roman" w:hAnsi="Times New Roman" w:cs="Times New Roman"/>
        </w:rPr>
        <w:t>(Taiwan Lectures on</w:t>
      </w:r>
      <w:r w:rsidR="00C04FCC">
        <w:rPr>
          <w:rFonts w:ascii="Times New Roman" w:hAnsi="Times New Roman" w:cs="Times New Roman" w:hint="eastAsia"/>
        </w:rPr>
        <w:t xml:space="preserve"> </w:t>
      </w:r>
      <w:r w:rsidRPr="00612837">
        <w:rPr>
          <w:rFonts w:ascii="Times New Roman" w:hAnsi="Times New Roman" w:cs="Times New Roman"/>
        </w:rPr>
        <w:t>Chinese Studies)</w:t>
      </w:r>
      <w:r w:rsidRPr="00612837">
        <w:rPr>
          <w:rFonts w:ascii="Times New Roman" w:cs="Times New Roman"/>
        </w:rPr>
        <w:t>」。邀請</w:t>
      </w:r>
      <w:r w:rsidR="004F3A49">
        <w:rPr>
          <w:rFonts w:ascii="Times New Roman" w:cs="Times New Roman" w:hint="eastAsia"/>
        </w:rPr>
        <w:t>中國文化大學王明蓀退休教授</w:t>
      </w:r>
      <w:r w:rsidRPr="00612837">
        <w:rPr>
          <w:rFonts w:ascii="Times New Roman" w:cs="Times New Roman"/>
        </w:rPr>
        <w:t>，主講「</w:t>
      </w:r>
      <w:r w:rsidR="004F3A49" w:rsidRPr="004F3A49">
        <w:rPr>
          <w:rFonts w:ascii="Times New Roman" w:hAnsi="Times New Roman" w:cs="Times New Roman" w:hint="eastAsia"/>
          <w:szCs w:val="24"/>
        </w:rPr>
        <w:t>元代蒙古對中國的統治與管理</w:t>
      </w:r>
      <w:r w:rsidR="00C04FCC" w:rsidRPr="00C04FCC">
        <w:rPr>
          <w:rFonts w:ascii="Times New Roman" w:hAnsi="Times New Roman" w:cs="Times New Roman" w:hint="eastAsia"/>
          <w:szCs w:val="24"/>
        </w:rPr>
        <w:t>(</w:t>
      </w:r>
      <w:r w:rsidR="004F3A49" w:rsidRPr="004F3A49">
        <w:rPr>
          <w:rFonts w:ascii="Times New Roman" w:hAnsi="Times New Roman" w:cs="Times New Roman"/>
          <w:szCs w:val="24"/>
        </w:rPr>
        <w:t>Mongolian Governance and Rule of China in the Yuan Dynasty</w:t>
      </w:r>
      <w:r w:rsidR="00C04FCC" w:rsidRPr="00C04FCC">
        <w:rPr>
          <w:rFonts w:ascii="Times New Roman" w:hAnsi="Times New Roman" w:cs="Times New Roman" w:hint="eastAsia"/>
          <w:szCs w:val="24"/>
        </w:rPr>
        <w:t>)</w:t>
      </w:r>
      <w:r w:rsidRPr="00AC2EDE">
        <w:rPr>
          <w:rFonts w:ascii="Times New Roman" w:cs="Times New Roman"/>
        </w:rPr>
        <w:t>」</w:t>
      </w:r>
      <w:r w:rsidRPr="00612837">
        <w:rPr>
          <w:rFonts w:ascii="Times New Roman" w:cs="Times New Roman"/>
        </w:rPr>
        <w:t>。</w:t>
      </w:r>
    </w:p>
    <w:p w:rsidR="006369A3" w:rsidRDefault="004F3A49" w:rsidP="004F3A49">
      <w:pPr>
        <w:spacing w:line="480" w:lineRule="exact"/>
        <w:ind w:firstLineChars="200" w:firstLine="480"/>
        <w:jc w:val="both"/>
        <w:rPr>
          <w:rFonts w:ascii="Times New Roman" w:hAnsi="Times New Roman" w:cs="Times New Roman"/>
        </w:rPr>
      </w:pPr>
      <w:r w:rsidRPr="004F3A49">
        <w:rPr>
          <w:rFonts w:ascii="Times New Roman" w:hAnsi="Times New Roman" w:cs="Times New Roman" w:hint="eastAsia"/>
        </w:rPr>
        <w:t>王明蓀教授為國家文學博士，研究主題為宋遼金元史、中國史學史及思想史、中國北方民族史、近古社會文化史等領域</w:t>
      </w:r>
      <w:r>
        <w:rPr>
          <w:rFonts w:ascii="Times New Roman" w:hAnsi="Times New Roman" w:cs="Times New Roman" w:hint="eastAsia"/>
        </w:rPr>
        <w:t>，是我國史學界邊疆民族研究先驅之</w:t>
      </w:r>
      <w:proofErr w:type="gramStart"/>
      <w:r>
        <w:rPr>
          <w:rFonts w:ascii="Times New Roman" w:hAnsi="Times New Roman" w:cs="Times New Roman" w:hint="eastAsia"/>
        </w:rPr>
        <w:t>一</w:t>
      </w:r>
      <w:proofErr w:type="gramEnd"/>
      <w:r w:rsidRPr="004F3A49">
        <w:rPr>
          <w:rFonts w:ascii="Times New Roman" w:hAnsi="Times New Roman" w:cs="Times New Roman" w:hint="eastAsia"/>
        </w:rPr>
        <w:t>。王教授退休後，仍持續關心並進行相關研究。</w:t>
      </w:r>
    </w:p>
    <w:p w:rsidR="004F3A49" w:rsidRDefault="002036A9" w:rsidP="00E35BBE">
      <w:pPr>
        <w:spacing w:line="480" w:lineRule="exact"/>
        <w:ind w:firstLineChars="200" w:firstLine="480"/>
        <w:jc w:val="both"/>
        <w:rPr>
          <w:rFonts w:asciiTheme="minorEastAsia" w:hAnsiTheme="minorEastAsia" w:cs="Times New Roman"/>
        </w:rPr>
      </w:pPr>
      <w:r w:rsidRPr="00D96A0B">
        <w:rPr>
          <w:rFonts w:asciiTheme="minorEastAsia" w:hAnsiTheme="minorEastAsia" w:cs="Times New Roman" w:hint="eastAsia"/>
        </w:rPr>
        <w:t>本次講座中，</w:t>
      </w:r>
      <w:r w:rsidR="004F3A49">
        <w:rPr>
          <w:rFonts w:asciiTheme="minorEastAsia" w:hAnsiTheme="minorEastAsia" w:cs="Times New Roman" w:hint="eastAsia"/>
        </w:rPr>
        <w:t>王教授指出，</w:t>
      </w:r>
      <w:r w:rsidR="004F3A49" w:rsidRPr="004F3A49">
        <w:rPr>
          <w:rFonts w:asciiTheme="minorEastAsia" w:hAnsiTheme="minorEastAsia" w:cs="Times New Roman" w:hint="eastAsia"/>
        </w:rPr>
        <w:t>中國的元朝是蒙古帝國的一個「</w:t>
      </w:r>
      <w:proofErr w:type="gramStart"/>
      <w:r w:rsidR="004F3A49" w:rsidRPr="004F3A49">
        <w:rPr>
          <w:rFonts w:asciiTheme="minorEastAsia" w:hAnsiTheme="minorEastAsia" w:cs="Times New Roman" w:hint="eastAsia"/>
        </w:rPr>
        <w:t>兀魯思</w:t>
      </w:r>
      <w:proofErr w:type="gramEnd"/>
      <w:r w:rsidR="004F3A49" w:rsidRPr="004F3A49">
        <w:rPr>
          <w:rFonts w:asciiTheme="minorEastAsia" w:hAnsiTheme="minorEastAsia" w:cs="Times New Roman" w:hint="eastAsia"/>
        </w:rPr>
        <w:t>」，</w:t>
      </w:r>
      <w:proofErr w:type="gramStart"/>
      <w:r w:rsidR="004F3A49" w:rsidRPr="004F3A49">
        <w:rPr>
          <w:rFonts w:asciiTheme="minorEastAsia" w:hAnsiTheme="minorEastAsia" w:cs="Times New Roman" w:hint="eastAsia"/>
        </w:rPr>
        <w:t>與其他汗國</w:t>
      </w:r>
      <w:proofErr w:type="gramEnd"/>
      <w:r w:rsidR="004F3A49" w:rsidRPr="004F3A49">
        <w:rPr>
          <w:rFonts w:asciiTheme="minorEastAsia" w:hAnsiTheme="minorEastAsia" w:cs="Times New Roman" w:hint="eastAsia"/>
        </w:rPr>
        <w:t>共同構成為大蒙古國。此一制度在中國歷史上的特殊性，即元朝的皇帝兼為大蒙古國的大汗，在中國的蒙元政權與國家性質即是如此。因此，元朝的帝王不只具有中國的眼光來實行統治，還須思考到大蒙古國的利益與立場，這幾乎是絕大部份中國人未曾思及，也認為是種不可思議的想法，更是中國歷史上從沒有過的經驗。而對蒙古人來說，統治中國的方式也是不曾經歷過的，這樣的體制，對雙方而言皆存在相當程度的困擾。</w:t>
      </w:r>
      <w:r w:rsidR="004F3A49">
        <w:rPr>
          <w:rFonts w:asciiTheme="minorEastAsia" w:hAnsiTheme="minorEastAsia" w:cs="Times New Roman" w:hint="eastAsia"/>
        </w:rPr>
        <w:t>由此一現象所形塑的蒙古－元朝</w:t>
      </w:r>
      <w:r w:rsidR="004F3A49" w:rsidRPr="004F3A49">
        <w:rPr>
          <w:rFonts w:asciiTheme="minorEastAsia" w:hAnsiTheme="minorEastAsia" w:cs="Times New Roman" w:hint="eastAsia"/>
        </w:rPr>
        <w:t>國家的性質，文化傳統與思想觀念的不同，政治結構的特色，族群的差異等方面</w:t>
      </w:r>
      <w:r w:rsidR="004F3A49">
        <w:rPr>
          <w:rFonts w:asciiTheme="minorEastAsia" w:hAnsiTheme="minorEastAsia" w:cs="Times New Roman" w:hint="eastAsia"/>
        </w:rPr>
        <w:t>，在</w:t>
      </w:r>
      <w:proofErr w:type="gramStart"/>
      <w:r w:rsidR="004F3A49">
        <w:rPr>
          <w:rFonts w:asciiTheme="minorEastAsia" w:hAnsiTheme="minorEastAsia" w:cs="Times New Roman" w:hint="eastAsia"/>
        </w:rPr>
        <w:t>在</w:t>
      </w:r>
      <w:proofErr w:type="gramEnd"/>
      <w:r w:rsidR="004F3A49">
        <w:rPr>
          <w:rFonts w:asciiTheme="minorEastAsia" w:hAnsiTheme="minorEastAsia" w:cs="Times New Roman" w:hint="eastAsia"/>
        </w:rPr>
        <w:t>呈現出</w:t>
      </w:r>
      <w:r w:rsidR="004F3A49" w:rsidRPr="004F3A49">
        <w:rPr>
          <w:rFonts w:asciiTheme="minorEastAsia" w:hAnsiTheme="minorEastAsia" w:cs="Times New Roman" w:hint="eastAsia"/>
        </w:rPr>
        <w:t>一種雜</w:t>
      </w:r>
      <w:proofErr w:type="gramStart"/>
      <w:r w:rsidR="004F3A49" w:rsidRPr="004F3A49">
        <w:rPr>
          <w:rFonts w:asciiTheme="minorEastAsia" w:hAnsiTheme="minorEastAsia" w:cs="Times New Roman" w:hint="eastAsia"/>
        </w:rPr>
        <w:t>糅</w:t>
      </w:r>
      <w:proofErr w:type="gramEnd"/>
      <w:r w:rsidR="004F3A49" w:rsidRPr="004F3A49">
        <w:rPr>
          <w:rFonts w:asciiTheme="minorEastAsia" w:hAnsiTheme="minorEastAsia" w:cs="Times New Roman" w:hint="eastAsia"/>
        </w:rPr>
        <w:t>、複合的體制。</w:t>
      </w:r>
    </w:p>
    <w:p w:rsidR="0091410A" w:rsidRDefault="004F3A49" w:rsidP="00EC3C9E">
      <w:pPr>
        <w:spacing w:line="480" w:lineRule="exact"/>
        <w:ind w:firstLineChars="200" w:firstLine="480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本場講座藉國圖與蒙古</w:t>
      </w:r>
      <w:r w:rsidR="00E143C9">
        <w:rPr>
          <w:rFonts w:asciiTheme="minorEastAsia" w:hAnsiTheme="minorEastAsia" w:cs="Times New Roman" w:hint="eastAsia"/>
        </w:rPr>
        <w:t>國立大學</w:t>
      </w:r>
      <w:r>
        <w:rPr>
          <w:rFonts w:ascii="Times New Roman" w:cs="Times New Roman" w:hint="eastAsia"/>
        </w:rPr>
        <w:t>簽訂</w:t>
      </w:r>
      <w:r>
        <w:rPr>
          <w:rFonts w:asciiTheme="minorEastAsia" w:hAnsiTheme="minorEastAsia" w:cs="Times New Roman" w:hint="eastAsia"/>
        </w:rPr>
        <w:t>「臺灣漢學研究資源中心」系列活動辦理，場面相當熱烈。</w:t>
      </w:r>
      <w:r w:rsidR="00EC3C9E">
        <w:rPr>
          <w:rFonts w:asciiTheme="minorEastAsia" w:hAnsiTheme="minorEastAsia" w:cs="Times New Roman" w:hint="eastAsia"/>
        </w:rPr>
        <w:t>計有50多位蒙古學術各界人士與會，為國圖與蒙古未來的學術交流與合作，踏出成功的第一步。</w:t>
      </w:r>
    </w:p>
    <w:p w:rsidR="00E143C9" w:rsidRDefault="00E143C9" w:rsidP="00AC2EDE">
      <w:pPr>
        <w:spacing w:line="480" w:lineRule="exact"/>
        <w:jc w:val="both"/>
        <w:rPr>
          <w:rFonts w:asciiTheme="minorEastAsia" w:hAnsiTheme="minorEastAsia" w:cs="Times New Roman"/>
        </w:rPr>
      </w:pPr>
    </w:p>
    <w:p w:rsidR="00EC3C9E" w:rsidRDefault="00EC3C9E" w:rsidP="00AC2EDE">
      <w:pPr>
        <w:spacing w:line="480" w:lineRule="exact"/>
        <w:jc w:val="both"/>
        <w:rPr>
          <w:rFonts w:asciiTheme="minorEastAsia" w:hAnsiTheme="minorEastAsia" w:cs="Times New Roman"/>
        </w:rPr>
      </w:pPr>
    </w:p>
    <w:p w:rsidR="00EC3C9E" w:rsidRDefault="00EC3C9E" w:rsidP="00AC2EDE">
      <w:pPr>
        <w:spacing w:line="480" w:lineRule="exact"/>
        <w:jc w:val="both"/>
        <w:rPr>
          <w:rFonts w:asciiTheme="minorEastAsia" w:hAnsiTheme="minorEastAsia" w:cs="Times New Roman"/>
        </w:rPr>
      </w:pPr>
    </w:p>
    <w:p w:rsidR="00EC3C9E" w:rsidRDefault="00EC3C9E" w:rsidP="00AC2EDE">
      <w:pPr>
        <w:spacing w:line="480" w:lineRule="exact"/>
        <w:jc w:val="both"/>
        <w:rPr>
          <w:rFonts w:asciiTheme="minorEastAsia" w:hAnsiTheme="minorEastAsia" w:cs="Times New Roman"/>
        </w:rPr>
      </w:pPr>
    </w:p>
    <w:p w:rsidR="00EC3C9E" w:rsidRDefault="00EC3C9E" w:rsidP="00AC2EDE">
      <w:pPr>
        <w:spacing w:line="480" w:lineRule="exact"/>
        <w:jc w:val="both"/>
        <w:rPr>
          <w:rFonts w:asciiTheme="minorEastAsia" w:hAnsiTheme="minorEastAsia" w:cs="Times New Roman"/>
        </w:rPr>
      </w:pPr>
    </w:p>
    <w:p w:rsidR="00EC3C9E" w:rsidRDefault="00EC3C9E" w:rsidP="00AC2EDE">
      <w:pPr>
        <w:spacing w:line="480" w:lineRule="exact"/>
        <w:jc w:val="both"/>
        <w:rPr>
          <w:rFonts w:asciiTheme="minorEastAsia" w:hAnsiTheme="minorEastAsia" w:cs="Times New Roman"/>
        </w:rPr>
      </w:pPr>
    </w:p>
    <w:p w:rsidR="00EC3C9E" w:rsidRDefault="00EC3C9E" w:rsidP="00AC2EDE">
      <w:pPr>
        <w:spacing w:line="480" w:lineRule="exact"/>
        <w:jc w:val="both"/>
        <w:rPr>
          <w:rFonts w:asciiTheme="minorEastAsia" w:hAnsiTheme="minorEastAsia" w:cs="Times New Roman"/>
        </w:rPr>
      </w:pPr>
    </w:p>
    <w:p w:rsidR="00EC3C9E" w:rsidRDefault="00EC3C9E" w:rsidP="00AC2EDE">
      <w:pPr>
        <w:spacing w:line="480" w:lineRule="exact"/>
        <w:jc w:val="both"/>
        <w:rPr>
          <w:rFonts w:asciiTheme="minorEastAsia" w:hAnsiTheme="minorEastAsia" w:cs="Times New Roman"/>
        </w:rPr>
      </w:pPr>
    </w:p>
    <w:p w:rsidR="00EC3C9E" w:rsidRDefault="00EC3C9E" w:rsidP="00AC2EDE">
      <w:pPr>
        <w:spacing w:line="480" w:lineRule="exact"/>
        <w:jc w:val="both"/>
        <w:rPr>
          <w:rFonts w:asciiTheme="minorEastAsia" w:hAnsiTheme="minorEastAsia" w:cs="Times New Roman" w:hint="eastAsia"/>
        </w:rPr>
      </w:pPr>
    </w:p>
    <w:p w:rsidR="00EC3C9E" w:rsidRDefault="00EC3C9E" w:rsidP="00AC2EDE">
      <w:pPr>
        <w:spacing w:line="480" w:lineRule="exact"/>
        <w:jc w:val="both"/>
        <w:rPr>
          <w:rFonts w:asciiTheme="minorEastAsia" w:hAnsiTheme="minorEastAsia" w:cs="Times New Roman"/>
        </w:rPr>
      </w:pPr>
    </w:p>
    <w:p w:rsidR="00EC3C9E" w:rsidRDefault="00EC3C9E" w:rsidP="00AC2EDE">
      <w:pPr>
        <w:spacing w:line="480" w:lineRule="exact"/>
        <w:jc w:val="both"/>
        <w:rPr>
          <w:rFonts w:asciiTheme="minorEastAsia" w:hAnsiTheme="minorEastAsia" w:cs="Times New Roman"/>
        </w:rPr>
      </w:pPr>
    </w:p>
    <w:p w:rsidR="00EC3C9E" w:rsidRDefault="00EC3C9E" w:rsidP="00AC2EDE">
      <w:pPr>
        <w:spacing w:line="480" w:lineRule="exact"/>
        <w:jc w:val="both"/>
        <w:rPr>
          <w:rFonts w:asciiTheme="minorEastAsia" w:hAnsiTheme="minorEastAsia" w:cs="Times New Roman"/>
        </w:rPr>
      </w:pPr>
    </w:p>
    <w:p w:rsidR="00EC3C9E" w:rsidRDefault="00EC3C9E" w:rsidP="00AC2EDE">
      <w:pPr>
        <w:spacing w:line="480" w:lineRule="exact"/>
        <w:jc w:val="both"/>
        <w:rPr>
          <w:rFonts w:asciiTheme="minorEastAsia" w:hAnsiTheme="minorEastAsia" w:cs="Times New Roman" w:hint="eastAsia"/>
        </w:rPr>
      </w:pPr>
    </w:p>
    <w:p w:rsidR="00EC3C9E" w:rsidRDefault="00EC3C9E" w:rsidP="00AC2EDE">
      <w:pPr>
        <w:spacing w:line="480" w:lineRule="exact"/>
        <w:jc w:val="both"/>
        <w:rPr>
          <w:rFonts w:asciiTheme="minorEastAsia" w:hAnsiTheme="minorEastAsia" w:cs="Times New Roman"/>
        </w:rPr>
      </w:pPr>
    </w:p>
    <w:p w:rsidR="00EC3C9E" w:rsidRDefault="00EC3C9E" w:rsidP="00AC2EDE">
      <w:pPr>
        <w:spacing w:line="480" w:lineRule="exact"/>
        <w:jc w:val="both"/>
        <w:rPr>
          <w:rFonts w:asciiTheme="minorEastAsia" w:hAnsiTheme="minorEastAsia" w:cs="Times New Roman"/>
        </w:rPr>
      </w:pPr>
    </w:p>
    <w:p w:rsidR="00EC3C9E" w:rsidRDefault="00EC3C9E" w:rsidP="00AC2EDE">
      <w:pPr>
        <w:spacing w:line="480" w:lineRule="exact"/>
        <w:jc w:val="both"/>
        <w:rPr>
          <w:rFonts w:asciiTheme="minorEastAsia" w:hAnsiTheme="minorEastAsia" w:cs="Times New Roman"/>
        </w:rPr>
      </w:pPr>
    </w:p>
    <w:p w:rsidR="00EC3C9E" w:rsidRDefault="00EC3C9E" w:rsidP="00EC3C9E">
      <w:pPr>
        <w:spacing w:line="480" w:lineRule="exact"/>
        <w:jc w:val="center"/>
        <w:rPr>
          <w:rFonts w:asciiTheme="minorEastAsia" w:hAnsiTheme="minorEastAsia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1424940</wp:posOffset>
            </wp:positionH>
            <wp:positionV relativeFrom="paragraph">
              <wp:posOffset>-2994660</wp:posOffset>
            </wp:positionV>
            <wp:extent cx="2425586" cy="3230880"/>
            <wp:effectExtent l="0" t="0" r="0" b="7620"/>
            <wp:wrapThrough wrapText="bothSides">
              <wp:wrapPolygon edited="0">
                <wp:start x="0" y="0"/>
                <wp:lineTo x="0" y="21524"/>
                <wp:lineTo x="21379" y="21524"/>
                <wp:lineTo x="21379" y="0"/>
                <wp:lineTo x="0" y="0"/>
              </wp:wrapPolygon>
            </wp:wrapThrough>
            <wp:docPr id="1" name="圖片 1" descr="https://nclfile.ncl.edu.tw/images/large/ef377e34-d5a5-4463-924f-dcefc1581e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clfile.ncl.edu.tw/images/large/ef377e34-d5a5-4463-924f-dcefc1581e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586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C9E" w:rsidRDefault="00DD2CCB" w:rsidP="00EC3C9E">
      <w:pPr>
        <w:spacing w:line="480" w:lineRule="exact"/>
        <w:jc w:val="center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王明孫教授演講</w:t>
      </w:r>
      <w:bookmarkStart w:id="0" w:name="_GoBack"/>
      <w:bookmarkEnd w:id="0"/>
    </w:p>
    <w:p w:rsidR="00DD2CCB" w:rsidRDefault="00DD2CCB" w:rsidP="00EC3C9E">
      <w:pPr>
        <w:spacing w:line="480" w:lineRule="exact"/>
        <w:jc w:val="center"/>
        <w:rPr>
          <w:rFonts w:asciiTheme="minorEastAsia" w:hAnsiTheme="minorEastAsia" w:cs="Times New Roman"/>
        </w:rPr>
      </w:pPr>
    </w:p>
    <w:p w:rsidR="00DD2CCB" w:rsidRDefault="00DD2CCB" w:rsidP="00EC3C9E">
      <w:pPr>
        <w:spacing w:line="480" w:lineRule="exact"/>
        <w:jc w:val="center"/>
        <w:rPr>
          <w:rFonts w:asciiTheme="minorEastAsia" w:hAnsiTheme="minorEastAsia" w:cs="Times New Roman"/>
        </w:rPr>
      </w:pPr>
    </w:p>
    <w:p w:rsidR="00DD2CCB" w:rsidRDefault="00DD2CCB" w:rsidP="00EC3C9E">
      <w:pPr>
        <w:spacing w:line="480" w:lineRule="exact"/>
        <w:jc w:val="center"/>
        <w:rPr>
          <w:rFonts w:asciiTheme="minorEastAsia" w:hAnsiTheme="minorEastAsia" w:cs="Times New Roman"/>
        </w:rPr>
      </w:pPr>
    </w:p>
    <w:p w:rsidR="00DD2CCB" w:rsidRDefault="00DD2CCB" w:rsidP="00EC3C9E">
      <w:pPr>
        <w:spacing w:line="480" w:lineRule="exact"/>
        <w:jc w:val="center"/>
        <w:rPr>
          <w:rFonts w:asciiTheme="minorEastAsia" w:hAnsiTheme="minorEastAsia" w:cs="Times New Roman" w:hint="eastAsia"/>
        </w:rPr>
      </w:pPr>
    </w:p>
    <w:p w:rsidR="00DD2CCB" w:rsidRDefault="00DD2CCB" w:rsidP="00EC3C9E">
      <w:pPr>
        <w:spacing w:line="480" w:lineRule="exact"/>
        <w:jc w:val="center"/>
        <w:rPr>
          <w:rFonts w:asciiTheme="minorEastAsia" w:hAnsiTheme="minorEastAsia" w:cs="Times New Roman"/>
        </w:rPr>
      </w:pPr>
    </w:p>
    <w:p w:rsidR="00DD2CCB" w:rsidRDefault="00DD2CCB" w:rsidP="00EC3C9E">
      <w:pPr>
        <w:spacing w:line="480" w:lineRule="exact"/>
        <w:jc w:val="center"/>
        <w:rPr>
          <w:rFonts w:asciiTheme="minorEastAsia" w:hAnsiTheme="minorEastAsia" w:cs="Times New Roman"/>
        </w:rPr>
      </w:pPr>
    </w:p>
    <w:p w:rsidR="00DD2CCB" w:rsidRDefault="00DD2CCB" w:rsidP="00EC3C9E">
      <w:pPr>
        <w:spacing w:line="480" w:lineRule="exact"/>
        <w:jc w:val="center"/>
        <w:rPr>
          <w:rFonts w:asciiTheme="minorEastAsia" w:hAnsiTheme="minorEastAsia" w:cs="Times New Roman"/>
        </w:rPr>
      </w:pPr>
    </w:p>
    <w:p w:rsidR="00DD2CCB" w:rsidRDefault="00DD2CCB" w:rsidP="00EC3C9E">
      <w:pPr>
        <w:spacing w:line="480" w:lineRule="exact"/>
        <w:jc w:val="center"/>
        <w:rPr>
          <w:rFonts w:asciiTheme="minorEastAsia" w:hAnsiTheme="minorEastAsia" w:cs="Times New Roman"/>
        </w:rPr>
      </w:pPr>
    </w:p>
    <w:p w:rsidR="00DD2CCB" w:rsidRDefault="00DD2CCB" w:rsidP="00EC3C9E">
      <w:pPr>
        <w:spacing w:line="480" w:lineRule="exact"/>
        <w:jc w:val="center"/>
        <w:rPr>
          <w:rFonts w:asciiTheme="minorEastAsia" w:hAnsiTheme="minorEastAsia" w:cs="Times New Roman" w:hint="eastAsia"/>
        </w:rPr>
      </w:pPr>
    </w:p>
    <w:p w:rsidR="00DD2CCB" w:rsidRDefault="00DD2CCB" w:rsidP="00EC3C9E">
      <w:pPr>
        <w:spacing w:line="480" w:lineRule="exact"/>
        <w:jc w:val="center"/>
        <w:rPr>
          <w:rFonts w:asciiTheme="minorEastAsia" w:hAnsiTheme="minorEastAsia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777240</wp:posOffset>
            </wp:positionH>
            <wp:positionV relativeFrom="paragraph">
              <wp:posOffset>-2209800</wp:posOffset>
            </wp:positionV>
            <wp:extent cx="3706248" cy="2449830"/>
            <wp:effectExtent l="0" t="0" r="8890" b="7620"/>
            <wp:wrapThrough wrapText="bothSides">
              <wp:wrapPolygon edited="0">
                <wp:start x="0" y="0"/>
                <wp:lineTo x="0" y="21499"/>
                <wp:lineTo x="21541" y="21499"/>
                <wp:lineTo x="21541" y="0"/>
                <wp:lineTo x="0" y="0"/>
              </wp:wrapPolygon>
            </wp:wrapThrough>
            <wp:docPr id="2" name="圖片 2" descr="https://nclfile.ncl.edu.tw/images/large/5f19ec56-4e8e-4cfa-9327-16992d669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clfile.ncl.edu.tw/images/large/5f19ec56-4e8e-4cfa-9327-16992d6697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248" cy="244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C9E" w:rsidRPr="0091410A" w:rsidRDefault="00DD2CCB" w:rsidP="00EC3C9E">
      <w:pPr>
        <w:spacing w:line="480" w:lineRule="exact"/>
        <w:jc w:val="center"/>
        <w:rPr>
          <w:rFonts w:asciiTheme="minorEastAsia" w:hAnsiTheme="minorEastAsia" w:cs="Times New Roman" w:hint="eastAsia"/>
        </w:rPr>
      </w:pPr>
      <w:r>
        <w:rPr>
          <w:rFonts w:asciiTheme="minorEastAsia" w:hAnsiTheme="minorEastAsia" w:cs="Times New Roman" w:hint="eastAsia"/>
        </w:rPr>
        <w:t>講座會場出席盛況</w:t>
      </w:r>
    </w:p>
    <w:sectPr w:rsidR="00EC3C9E" w:rsidRPr="0091410A" w:rsidSect="0000521A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76F" w:rsidRDefault="00C9276F" w:rsidP="00AE2BD6">
      <w:r>
        <w:separator/>
      </w:r>
    </w:p>
  </w:endnote>
  <w:endnote w:type="continuationSeparator" w:id="0">
    <w:p w:rsidR="00C9276F" w:rsidRDefault="00C9276F" w:rsidP="00A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76F" w:rsidRDefault="00C9276F" w:rsidP="00AE2BD6">
      <w:r>
        <w:separator/>
      </w:r>
    </w:p>
  </w:footnote>
  <w:footnote w:type="continuationSeparator" w:id="0">
    <w:p w:rsidR="00C9276F" w:rsidRDefault="00C9276F" w:rsidP="00AE2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C9E" w:rsidRPr="00EC3C9E" w:rsidRDefault="00EC3C9E" w:rsidP="00EC3C9E">
    <w:pPr>
      <w:pStyle w:val="a3"/>
      <w:jc w:val="right"/>
      <w:rPr>
        <w:rFonts w:ascii="Times New Roman" w:eastAsia="標楷體" w:hAnsi="Times New Roman" w:cs="Times New Roman"/>
      </w:rPr>
    </w:pPr>
    <w:r w:rsidRPr="00EC3C9E">
      <w:rPr>
        <w:rFonts w:ascii="Times New Roman" w:eastAsia="標楷體" w:hAnsi="Times New Roman" w:cs="Times New Roman"/>
      </w:rPr>
      <w:t xml:space="preserve">2019 </w:t>
    </w:r>
    <w:r w:rsidRPr="00EC3C9E">
      <w:rPr>
        <w:rFonts w:ascii="Times New Roman" w:eastAsia="標楷體" w:hAnsi="Times New Roman" w:cs="Times New Roman"/>
      </w:rPr>
      <w:t>臺灣漢學講座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A3"/>
    <w:rsid w:val="0000521A"/>
    <w:rsid w:val="001A47EC"/>
    <w:rsid w:val="002036A9"/>
    <w:rsid w:val="00266108"/>
    <w:rsid w:val="004735E5"/>
    <w:rsid w:val="004F3A49"/>
    <w:rsid w:val="005747F8"/>
    <w:rsid w:val="00612837"/>
    <w:rsid w:val="006369A3"/>
    <w:rsid w:val="007E3DC6"/>
    <w:rsid w:val="0091410A"/>
    <w:rsid w:val="0099751D"/>
    <w:rsid w:val="00A635DE"/>
    <w:rsid w:val="00AA5594"/>
    <w:rsid w:val="00AC2EDE"/>
    <w:rsid w:val="00AE2BD6"/>
    <w:rsid w:val="00BA7763"/>
    <w:rsid w:val="00C04FCC"/>
    <w:rsid w:val="00C9276F"/>
    <w:rsid w:val="00CA010F"/>
    <w:rsid w:val="00CE2957"/>
    <w:rsid w:val="00D23D26"/>
    <w:rsid w:val="00D96A0B"/>
    <w:rsid w:val="00DD2CCB"/>
    <w:rsid w:val="00DF2199"/>
    <w:rsid w:val="00E143C9"/>
    <w:rsid w:val="00E35BBE"/>
    <w:rsid w:val="00E56794"/>
    <w:rsid w:val="00EC3C9E"/>
    <w:rsid w:val="00F250CE"/>
    <w:rsid w:val="00F4799B"/>
    <w:rsid w:val="00FD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D4DF7"/>
  <w15:docId w15:val="{2A94D453-2951-44FA-966F-1EDD39ED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2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B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2B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2B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2BD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735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735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733</Characters>
  <Application>Microsoft Office Word</Application>
  <DocSecurity>0</DocSecurity>
  <Lines>6</Lines>
  <Paragraphs>1</Paragraphs>
  <ScaleCrop>false</ScaleCrop>
  <Company>Microsoft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ncluser</cp:lastModifiedBy>
  <cp:revision>2</cp:revision>
  <cp:lastPrinted>2018-04-30T00:57:00Z</cp:lastPrinted>
  <dcterms:created xsi:type="dcterms:W3CDTF">2019-11-06T06:21:00Z</dcterms:created>
  <dcterms:modified xsi:type="dcterms:W3CDTF">2019-11-06T06:21:00Z</dcterms:modified>
</cp:coreProperties>
</file>